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2020-202</w:t>
      </w:r>
      <w:r w:rsidR="00666DC2" w:rsidRPr="00600D9B">
        <w:rPr>
          <w:rFonts w:ascii="Corbel" w:hAnsi="Corbel"/>
          <w:b/>
          <w:bCs/>
          <w:smallCaps/>
          <w:sz w:val="24"/>
          <w:szCs w:val="24"/>
        </w:rPr>
        <w:t>3</w:t>
      </w:r>
    </w:p>
    <w:p w14:paraId="0CD8707A" w14:textId="3590B44C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1776E6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1776E6">
        <w:rPr>
          <w:rFonts w:ascii="Corbel" w:hAnsi="Corbel"/>
          <w:sz w:val="20"/>
          <w:szCs w:val="20"/>
        </w:rPr>
        <w:t>3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>FiR/I/FiB/C-1.12b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CCF151C" w:rsidR="0085747A" w:rsidRPr="009C54AE" w:rsidRDefault="00A81E30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445951DA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39C14FCE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036B8910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6508995A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>Jakubowska A. Public relations w kształtowaniu wizerunku instytucji finansowych, 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>PR public relations : wizerunek, reputacja, tożsamość / Wojciech Budzyński. – Warszawa,  Poltext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A80C" w14:textId="77777777" w:rsidR="00A1235E" w:rsidRDefault="00A1235E" w:rsidP="00C16ABF">
      <w:pPr>
        <w:spacing w:after="0" w:line="240" w:lineRule="auto"/>
      </w:pPr>
      <w:r>
        <w:separator/>
      </w:r>
    </w:p>
  </w:endnote>
  <w:endnote w:type="continuationSeparator" w:id="0">
    <w:p w14:paraId="715DF4AD" w14:textId="77777777" w:rsidR="00A1235E" w:rsidRDefault="00A123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3CF74" w14:textId="77777777" w:rsidR="00A1235E" w:rsidRDefault="00A1235E" w:rsidP="00C16ABF">
      <w:pPr>
        <w:spacing w:after="0" w:line="240" w:lineRule="auto"/>
      </w:pPr>
      <w:r>
        <w:separator/>
      </w:r>
    </w:p>
  </w:footnote>
  <w:footnote w:type="continuationSeparator" w:id="0">
    <w:p w14:paraId="6B1D27E3" w14:textId="77777777" w:rsidR="00A1235E" w:rsidRDefault="00A1235E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E31EC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9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30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024E-EB7A-445F-BCAD-5377C77A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2021-01-31T23:03:00Z</dcterms:created>
  <dcterms:modified xsi:type="dcterms:W3CDTF">2021-11-03T05:16:00Z</dcterms:modified>
</cp:coreProperties>
</file>